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6107" w14:textId="77777777" w:rsidR="009232C3" w:rsidRPr="009232C3" w:rsidRDefault="009232C3" w:rsidP="009232C3">
      <w:pPr>
        <w:shd w:val="clear" w:color="auto" w:fill="FFFFFF"/>
        <w:spacing w:after="300" w:line="264" w:lineRule="atLeast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406B"/>
          <w:kern w:val="36"/>
          <w:sz w:val="40"/>
          <w:szCs w:val="40"/>
          <w:u w:val="single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00406B"/>
          <w:kern w:val="36"/>
          <w:sz w:val="40"/>
          <w:szCs w:val="40"/>
          <w:u w:val="single"/>
          <w:lang w:eastAsia="cs-CZ"/>
        </w:rPr>
        <w:t>Zákon č. 37/2021 Sb. o evidenci skutečných majitelů</w:t>
      </w:r>
    </w:p>
    <w:p w14:paraId="4A301226" w14:textId="1B66382C" w:rsid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Upozorňujeme žadatele, že v souvislosti s nabytím účinnosti zákona č. 37/2021 Sb., o evidenci skutečných majitelů (dále také jen „ZESM“) a v souladu s touto skutečností novelizovaným </w:t>
      </w:r>
      <w:proofErr w:type="spellStart"/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ust</w:t>
      </w:r>
      <w:proofErr w:type="spellEnd"/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 § 10a odst. 3 písm. f) zákona č. 250/2000 Sb., o rozpočtových pravidlech územních rozpočtů, došlo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od 1. 6. 2021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ke změně právní úpravy minimálních náležitostí, které musí obsahovat žádost o dotaci nebo návratnou finanční výpomoc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</w:t>
      </w:r>
    </w:p>
    <w:p w14:paraId="3B85A183" w14:textId="77777777" w:rsidR="002D75B7" w:rsidRPr="009232C3" w:rsidRDefault="002D75B7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31351605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Nově jsou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vybrané právnické osoby povinny k žádosti o dotaci doložit úplný výpis z evidence skutečných majitelů, 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který není starší než 6 měsíců od data podání žádosti o dotaci.</w:t>
      </w:r>
    </w:p>
    <w:p w14:paraId="5C9A8BF7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Evidence skutečných majitelů je informačním systémem veřejné správy, do kterého se zapisují zákonem vymezené údaje o skutečných majitelích právnických osob a svěřenských fondů.</w:t>
      </w:r>
    </w:p>
    <w:p w14:paraId="2FF86DE1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ZESM dělí právnické osoby do dvou skupin:</w:t>
      </w:r>
    </w:p>
    <w:p w14:paraId="393948B6" w14:textId="65A748EE" w:rsidR="009232C3" w:rsidRPr="002D75B7" w:rsidRDefault="009232C3" w:rsidP="009232C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lang w:eastAsia="cs-CZ"/>
        </w:rPr>
      </w:pPr>
      <w:r w:rsidRPr="002D75B7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lang w:eastAsia="cs-CZ"/>
        </w:rPr>
        <w:t xml:space="preserve">osoby, které skutečného majitele nemají </w:t>
      </w:r>
    </w:p>
    <w:p w14:paraId="689C20D6" w14:textId="3D38704F" w:rsidR="009232C3" w:rsidRPr="002D75B7" w:rsidRDefault="009232C3" w:rsidP="002D75B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2D75B7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(</w:t>
      </w:r>
      <w:r w:rsidRPr="002D75B7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tyto osoby výpis u evidence skutečných majitelů nedokládají</w:t>
      </w:r>
      <w:r w:rsidRPr="002D75B7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):</w:t>
      </w:r>
    </w:p>
    <w:p w14:paraId="48A49240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a) stát a územní samosprávný celek,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b) dobrovolný svazek obcí,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c) státní příspěvková organizace a příspěvková organizace územního samosprávného celku,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d) školská právnická osoba zřízená státem, územním samosprávným celkem nebo dobrovolným svazkem obcí,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e) veřejná výzkumná instituce,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f) právnická osoba zřízená zákonem nebo mezinárodní smlouvou,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g) státní podnik a národní podnik,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h) okresní a regionální komora nebo začleněné společenstvo podle jiného zákona,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i) evropské seskupení pro územní spolupráci,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j) politická strana a politické hnutí,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k) církev a náboženská společnost a ostatní právnické osoby podle zákona upravujícího církve a náboženské společnosti,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l) odborová organizace a organizace zaměstnavatelů,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m) honební společenstvo,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n) společenství vlastníků jednotek,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lastRenderedPageBreak/>
        <w:t>o) právnická osoba, ve které má přímo nebo nepřímo veškeré podíly na prospěchu a hlasovacích právech Česká republika, kraj nebo obec, a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br/>
        <w:t>p) obecně prospěšná společnost a ústav, jejichž zakladatelem je Česká republika, kraj nebo obec.</w:t>
      </w:r>
    </w:p>
    <w:p w14:paraId="704E16DD" w14:textId="77777777" w:rsidR="00822ED4" w:rsidRPr="002D75B7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2) </w:t>
      </w:r>
      <w:r w:rsidRPr="002D75B7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lang w:eastAsia="cs-CZ"/>
        </w:rPr>
        <w:t xml:space="preserve">osoby mající skutečného majitele </w:t>
      </w:r>
    </w:p>
    <w:p w14:paraId="6C8B794A" w14:textId="14CBFA4D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(tzn.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osoby, na něž se povinnost doložit výpis z evidence skutečných majitelů vztahuje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):</w:t>
      </w:r>
    </w:p>
    <w:p w14:paraId="3DB8F622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- právnické osoby neuvedené v bodě 1).</w:t>
      </w:r>
    </w:p>
    <w:p w14:paraId="7BC73FB4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Evidence skutečných majitelů je vedena v elektronické podobě rejstříkovými soudy.</w:t>
      </w:r>
    </w:p>
    <w:p w14:paraId="25E3D5ED" w14:textId="77777777" w:rsidR="009232C3" w:rsidRPr="009232C3" w:rsidRDefault="009232C3" w:rsidP="009232C3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u w:val="single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u w:val="single"/>
          <w:lang w:eastAsia="cs-CZ"/>
        </w:rPr>
        <w:t>Získání výpisu z evidence skutečných majitelů</w:t>
      </w:r>
    </w:p>
    <w:p w14:paraId="3092B08D" w14:textId="3FFC2D0A" w:rsid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Evidence je částečně přístupná veřejnosti na internetových stránkách </w:t>
      </w:r>
      <w:hyperlink r:id="rId5" w:history="1">
        <w:r w:rsidRPr="009232C3">
          <w:rPr>
            <w:rFonts w:asciiTheme="majorHAnsi" w:eastAsia="Times New Roman" w:hAnsiTheme="majorHAnsi" w:cstheme="majorHAnsi"/>
            <w:b/>
            <w:bCs/>
            <w:color w:val="00406B"/>
            <w:sz w:val="30"/>
            <w:szCs w:val="30"/>
            <w:u w:val="single"/>
            <w:bdr w:val="none" w:sz="0" w:space="0" w:color="auto" w:frame="1"/>
            <w:lang w:eastAsia="cs-CZ"/>
          </w:rPr>
          <w:t>https://esm.justice.cz/ias/issm/rejstrik</w:t>
        </w:r>
      </w:hyperlink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kde lze nalézt danou právnickou osobu a zároveň získat částečný elektronický výpis z evidence skutečných majitelů.</w:t>
      </w:r>
    </w:p>
    <w:p w14:paraId="4858BF96" w14:textId="77777777" w:rsidR="002D75B7" w:rsidRPr="009232C3" w:rsidRDefault="002D75B7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06A565BF" w14:textId="77777777" w:rsidR="002D75B7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Úplný výpis může získat zapsaná osoba ve vztahu k jí zapsaným údajům bezplatně přihlášením evidující osoby nebo skutečného majitele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v elektronické aplikaci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evidence skutečných majitelů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(získat lze pouze elektronicky podepsaný výpis – viz níže).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Přihlášení lze provést za pomoci datové schránky nebo elektronické identifikace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 (e-Identita). </w:t>
      </w:r>
    </w:p>
    <w:p w14:paraId="068BE7B2" w14:textId="0FBAA700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Další možností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zaslání písemné žádosti na příslušný soud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kde je zaslání úplného výpisu zpoplatněno (získat lze elektronicky podepsaný i listinný úředně ověřený výpis – viz níže).</w:t>
      </w:r>
    </w:p>
    <w:p w14:paraId="2A1B1B68" w14:textId="6CF735C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40443C4E" w14:textId="123D1373" w:rsidR="009232C3" w:rsidRDefault="009232C3" w:rsidP="009232C3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bdr w:val="none" w:sz="0" w:space="0" w:color="auto" w:frame="1"/>
          <w:lang w:eastAsia="cs-CZ"/>
        </w:rPr>
        <w:t>Úplný výpis lze získat ve formě</w:t>
      </w:r>
      <w:r w:rsidRPr="009232C3"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lang w:eastAsia="cs-CZ"/>
        </w:rPr>
        <w:t>:</w:t>
      </w:r>
    </w:p>
    <w:p w14:paraId="4C1FEC0F" w14:textId="77777777" w:rsidR="002D75B7" w:rsidRPr="009232C3" w:rsidRDefault="002D75B7" w:rsidP="009232C3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00406B"/>
          <w:sz w:val="30"/>
          <w:szCs w:val="30"/>
          <w:lang w:eastAsia="cs-CZ"/>
        </w:rPr>
      </w:pPr>
    </w:p>
    <w:p w14:paraId="14CA4F5C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u w:val="single"/>
          <w:lang w:eastAsia="cs-CZ"/>
        </w:rPr>
        <w:t>1)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u w:val="single"/>
          <w:bdr w:val="none" w:sz="0" w:space="0" w:color="auto" w:frame="1"/>
          <w:lang w:eastAsia="cs-CZ"/>
        </w:rPr>
        <w:t>elektronického podepsaného výpisu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který byl vytvořen jako elektronický dokument ve formě datové zprávy (ve smyslu zákona č. 300/2008 Sb., o elektronických úkonech a autorizované konverzi dokumentů). Tento dokument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elektronicky podepsán kvalifikovaným systémovým certifikátem příslušného rejstříkového soudu a obsahuje všechny náležitosti, aby byl považován za důvěryhodný a právoplatný výpis srovnatelný s listinnými výpisy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Vytištěním se tato povaha výpisu degraduje a není možné jej používat jako plnohodnotný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</w:t>
      </w:r>
    </w:p>
    <w:p w14:paraId="305339CA" w14:textId="0D9D221E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lastRenderedPageBreak/>
        <w:t>Na úplný výpis získaný z internetové aplikace evidence skutečných majitelů jako podepsaný PDF dokument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je možné aplikovat mechanismus autorizované konverze 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(tj. převedení do listinné podoby způsobem zajišťujícím shodu obsahu a s doložkou o provedení konverze, tzn. se zachováním hodnoty jako u elektronického podepsaného výpisu). Tuto službu poskytují veřejnosti kontaktní místa veřejné správy (tzv. Czech POINT).</w:t>
      </w:r>
    </w:p>
    <w:p w14:paraId="60329AFC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03DCCB29" w14:textId="6B161103" w:rsidR="009232C3" w:rsidRPr="009232C3" w:rsidRDefault="009232C3" w:rsidP="009232C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u w:val="single"/>
          <w:bdr w:val="none" w:sz="0" w:space="0" w:color="auto" w:frame="1"/>
          <w:lang w:eastAsia="cs-CZ"/>
        </w:rPr>
        <w:t xml:space="preserve">listinný úředně ověřený </w:t>
      </w:r>
      <w:proofErr w:type="gramStart"/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u w:val="single"/>
          <w:bdr w:val="none" w:sz="0" w:space="0" w:color="auto" w:frame="1"/>
          <w:lang w:eastAsia="cs-CZ"/>
        </w:rPr>
        <w:t>výpis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u w:val="single"/>
          <w:lang w:eastAsia="cs-CZ"/>
        </w:rPr>
        <w:t> 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- je</w:t>
      </w:r>
      <w:proofErr w:type="gramEnd"/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 možné získat pouze od příslušného rejstříkového soudu. Tato možnost je zpoplatněna.</w:t>
      </w:r>
    </w:p>
    <w:p w14:paraId="4A6A4CEE" w14:textId="0003F2DA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3288411B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486A9007" w14:textId="30366D39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Více informací získáte na webu Informační systém evidence skutečných </w:t>
      </w:r>
      <w:proofErr w:type="gramStart"/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majitelů - Ministerstvo</w:t>
      </w:r>
      <w:proofErr w:type="gramEnd"/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 spravedlnosti České republiky: </w:t>
      </w:r>
      <w:hyperlink r:id="rId6" w:history="1">
        <w:r w:rsidRPr="009232C3">
          <w:rPr>
            <w:rFonts w:asciiTheme="majorHAnsi" w:eastAsia="Times New Roman" w:hAnsiTheme="majorHAnsi" w:cstheme="majorHAnsi"/>
            <w:b/>
            <w:bCs/>
            <w:color w:val="00406B"/>
            <w:sz w:val="30"/>
            <w:szCs w:val="30"/>
            <w:u w:val="single"/>
            <w:bdr w:val="none" w:sz="0" w:space="0" w:color="auto" w:frame="1"/>
            <w:lang w:eastAsia="cs-CZ"/>
          </w:rPr>
          <w:t>https://esm.justice.cz/ias/issm/rejstrik</w:t>
        </w:r>
      </w:hyperlink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</w:t>
      </w:r>
    </w:p>
    <w:p w14:paraId="3308DECA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3B2435DC" w14:textId="7657BA9E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bdr w:val="none" w:sz="0" w:space="0" w:color="auto" w:frame="1"/>
          <w:lang w:eastAsia="cs-CZ"/>
        </w:rPr>
      </w:pPr>
      <w:r w:rsidRPr="009232C3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bdr w:val="none" w:sz="0" w:space="0" w:color="auto" w:frame="1"/>
          <w:lang w:eastAsia="cs-CZ"/>
        </w:rPr>
        <w:t>Za účelem pořízení úplného výpisu z evidence skutečných majitelů DOPORUČUJEME žadatelům ZŘÍDIT DATOVOU SCHRÁNKU.</w:t>
      </w:r>
    </w:p>
    <w:p w14:paraId="1E9F2FAE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</w:p>
    <w:p w14:paraId="7733002D" w14:textId="1791A77E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Nejběžnějším způsobem zřízení datové schránky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požádat o její zřízení přes kontaktní místo Czech POINT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(</w:t>
      </w:r>
      <w:r w:rsidR="00822ED4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na Obecním úřadě v Liberku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; pobočky sítě Czech POINT na vybraných provozovnách České pošty).</w:t>
      </w:r>
    </w:p>
    <w:p w14:paraId="477752E1" w14:textId="77777777" w:rsidR="00822ED4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Zřízení datové schránky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zdarma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. Při podání žádosti je třeba předložit platný doklad totožnosti (občanský průkaz nebo pas). </w:t>
      </w:r>
    </w:p>
    <w:p w14:paraId="7A9AB495" w14:textId="61AA829A" w:rsidR="009232C3" w:rsidRPr="009232C3" w:rsidRDefault="00447DDA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 xml:space="preserve"> </w:t>
      </w:r>
      <w:r w:rsidR="009232C3"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V případě podnikající fyzické osoby (tj. OSVČ), která není zapsána v Registru osob, je rovněž nezbytné předložit doklad opravňující k podnikání. Je-li žádáno o zřízení datové schránky právnické osoby, která je zapsána v Registru osob a zároveň je žadatel u tohoto subjektu zapsán v Registru osob jako statutární zástupce, nejsou vyžadovány žádné další doklady (kromě předložení platného dokladu totožnosti). Není-li právnická osoba zapsána v Registru osob (což je výjimečné), doloží žadatel originál nebo úředně ověřenou kopii veřejné listiny dokládající její zřízení či statut. Dále, pokud žadatel není v Registru osob zapsán jako statutární zástupce dané právnické osoby, doloží originál nebo úředně ověřenou kopii oprávnění jednat jejím jménem, a to např. plná moc, jmenovací dekret, zápis z valné hromady apod. Žádost o zřízení datové schránky může podat i zástupce na základě předložené plné moci s úředně ověřeným podpisem zmocnitele. Doručení přístupových údajů však může být v takovém případě delší.</w:t>
      </w:r>
    </w:p>
    <w:p w14:paraId="1C0EAA3F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lastRenderedPageBreak/>
        <w:t>Žádost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odeslána okamžitě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 Není-li žádost vyřízena na počkání (zpravidla u právnických osob) obdrží žadatel, resp. osoby vykonávající funkci statutárního orgánu, jde-li o právnickou osobu,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přístupové údaje do 7 dnů ode dne podání žádosti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 Tyto údaje jsou doručovány do vlastních rukou v obálce se žlutým pruhem. Poté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možné okamžité přihlášení do datové schránky včetně pořízení úplného výpisu z evidence skutečných majitelů jejím prostřednictvím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(viz grafický postup).</w:t>
      </w:r>
    </w:p>
    <w:p w14:paraId="79A5FEF0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Výhodou datové schránky v souvislosti s evidencí skutečných majitelů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možnost bezplatně, kdykoliv (opakovaně), jednoduše a okamžitě pořídit úplný výpis z této evidence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který lze společně s celou žádostí o dotaci nebo i samostatně odeslat prostřednictvím datové schránky.</w:t>
      </w:r>
    </w:p>
    <w:p w14:paraId="70322509" w14:textId="77777777" w:rsidR="009232C3" w:rsidRPr="009232C3" w:rsidRDefault="009232C3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V případě, že právnická osoba </w:t>
      </w:r>
      <w:r w:rsidRPr="009232C3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bdr w:val="none" w:sz="0" w:space="0" w:color="auto" w:frame="1"/>
          <w:lang w:eastAsia="cs-CZ"/>
        </w:rPr>
        <w:t>NEMÁ DATOVOU SCHRÁNKU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lze pořídit úplný výpis z evidence skutečných majitelů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pouze na žádost podanou u soudu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, která je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zpoplatněna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 poplatkem ve výši 70,- Kč za 1 stranu (uhrazeno předem s tím, že přesáhne-li výpis 1 stranu, je na výzvu soudu poplatek třeba doplatit), vyřízení může trvat </w:t>
      </w:r>
      <w:r w:rsidRPr="009232C3">
        <w:rPr>
          <w:rFonts w:asciiTheme="majorHAnsi" w:eastAsia="Times New Roman" w:hAnsiTheme="majorHAnsi" w:cstheme="majorHAnsi"/>
          <w:b/>
          <w:bCs/>
          <w:color w:val="333333"/>
          <w:sz w:val="30"/>
          <w:szCs w:val="30"/>
          <w:bdr w:val="none" w:sz="0" w:space="0" w:color="auto" w:frame="1"/>
          <w:lang w:eastAsia="cs-CZ"/>
        </w:rPr>
        <w:t>i déle než 30 dnů</w:t>
      </w: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.</w:t>
      </w:r>
    </w:p>
    <w:p w14:paraId="4EC3C12E" w14:textId="77777777" w:rsidR="009232C3" w:rsidRPr="009232C3" w:rsidRDefault="009232C3" w:rsidP="009232C3">
      <w:pPr>
        <w:shd w:val="clear" w:color="auto" w:fill="FFFFFF"/>
        <w:spacing w:before="150" w:after="15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r w:rsidRPr="009232C3"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  <w:t>Více informací ke zřízení datové schránky naleznete zde:</w:t>
      </w:r>
    </w:p>
    <w:p w14:paraId="46D6E5BD" w14:textId="77777777" w:rsidR="009232C3" w:rsidRPr="009232C3" w:rsidRDefault="00811EFA" w:rsidP="00923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33333"/>
          <w:sz w:val="30"/>
          <w:szCs w:val="30"/>
          <w:lang w:eastAsia="cs-CZ"/>
        </w:rPr>
      </w:pPr>
      <w:hyperlink r:id="rId7" w:history="1">
        <w:r w:rsidR="009232C3" w:rsidRPr="009232C3">
          <w:rPr>
            <w:rFonts w:asciiTheme="majorHAnsi" w:eastAsia="Times New Roman" w:hAnsiTheme="majorHAnsi" w:cstheme="majorHAnsi"/>
            <w:b/>
            <w:bCs/>
            <w:color w:val="00406B"/>
            <w:sz w:val="30"/>
            <w:szCs w:val="30"/>
            <w:u w:val="single"/>
            <w:bdr w:val="none" w:sz="0" w:space="0" w:color="auto" w:frame="1"/>
            <w:lang w:eastAsia="cs-CZ"/>
          </w:rPr>
          <w:t>https://portalobcana.zlin.eu/detail-zivotni-situace.aspx?cislo=263</w:t>
        </w:r>
      </w:hyperlink>
    </w:p>
    <w:p w14:paraId="1850430E" w14:textId="77777777" w:rsidR="007B4ED9" w:rsidRPr="009232C3" w:rsidRDefault="007B4ED9">
      <w:pPr>
        <w:rPr>
          <w:rFonts w:asciiTheme="majorHAnsi" w:hAnsiTheme="majorHAnsi" w:cstheme="majorHAnsi"/>
          <w:sz w:val="30"/>
          <w:szCs w:val="30"/>
        </w:rPr>
      </w:pPr>
    </w:p>
    <w:sectPr w:rsidR="007B4ED9" w:rsidRPr="0092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73324"/>
    <w:multiLevelType w:val="hybridMultilevel"/>
    <w:tmpl w:val="AE50D9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C3"/>
    <w:rsid w:val="002D75B7"/>
    <w:rsid w:val="00447DDA"/>
    <w:rsid w:val="007B4ED9"/>
    <w:rsid w:val="00811EFA"/>
    <w:rsid w:val="00822ED4"/>
    <w:rsid w:val="0092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D26F"/>
  <w15:chartTrackingRefBased/>
  <w15:docId w15:val="{CF8E1F22-7F06-4732-B149-18D0DD5D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obcana.zlin.eu/detail-zivotni-situace.aspx?cislo=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m.justice.cz/ias/issm/rejstrik" TargetMode="External"/><Relationship Id="rId5" Type="http://schemas.openxmlformats.org/officeDocument/2006/relationships/hyperlink" Target="https://esm.justice.cz/ias/issm/rejstr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Liberk</dc:creator>
  <cp:keywords/>
  <dc:description/>
  <cp:lastModifiedBy>správa Liberk</cp:lastModifiedBy>
  <cp:revision>3</cp:revision>
  <cp:lastPrinted>2021-12-14T08:01:00Z</cp:lastPrinted>
  <dcterms:created xsi:type="dcterms:W3CDTF">2021-12-13T08:31:00Z</dcterms:created>
  <dcterms:modified xsi:type="dcterms:W3CDTF">2021-12-14T08:07:00Z</dcterms:modified>
</cp:coreProperties>
</file>